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6C" w:rsidRPr="00E93084" w:rsidRDefault="0093006C" w:rsidP="00E93084">
      <w:pPr>
        <w:jc w:val="center"/>
        <w:rPr>
          <w:rFonts w:ascii="Arial Narrow" w:hAnsi="Arial Narrow"/>
          <w:b/>
          <w:bCs/>
          <w:u w:val="single"/>
        </w:rPr>
      </w:pPr>
      <w:r w:rsidRPr="00E93084">
        <w:rPr>
          <w:rFonts w:ascii="Arial Narrow" w:hAnsi="Arial Narrow"/>
          <w:b/>
          <w:bCs/>
          <w:u w:val="single"/>
        </w:rPr>
        <w:t>CLIENT UNPAID SECURITIES PLEDGEE ACCOUNT POLICY</w:t>
      </w:r>
    </w:p>
    <w:p w:rsidR="0093006C" w:rsidRPr="00E93084" w:rsidRDefault="0093006C" w:rsidP="00E93084">
      <w:pPr>
        <w:jc w:val="both"/>
        <w:rPr>
          <w:rFonts w:ascii="Arial Narrow" w:hAnsi="Arial Narrow"/>
        </w:rPr>
      </w:pPr>
      <w:r w:rsidRPr="00E93084">
        <w:rPr>
          <w:rFonts w:ascii="Arial Narrow" w:hAnsi="Arial Narrow"/>
        </w:rPr>
        <w:t xml:space="preserve">Our Company has introduced the “client unpaid securities account” with reference to SEBI, vide circular no. CIR/HO/MIRSD/DOP/CIR/P/2019/75 dated June 20, 2019, SEBI/HO/MIRSD/MIRSD-PoD-1/P/CIR/2022/153 dated November 11, 2022 and NSE Circular no NSE/INSP/61507 dated April 05, 2024 and inter-alia specified the following: </w:t>
      </w:r>
    </w:p>
    <w:p w:rsidR="0093006C" w:rsidRPr="00E93084" w:rsidRDefault="0093006C" w:rsidP="00E93084">
      <w:pPr>
        <w:jc w:val="both"/>
        <w:rPr>
          <w:rFonts w:ascii="Arial Narrow" w:hAnsi="Arial Narrow"/>
        </w:rPr>
      </w:pPr>
      <w:r w:rsidRPr="00E93084">
        <w:rPr>
          <w:rFonts w:ascii="Arial Narrow" w:hAnsi="Arial Narrow"/>
        </w:rPr>
        <w:t xml:space="preserve">1. With regard to securities that have not been paid for in full by the clients (unpaid securities), a separate client account titled – “client unpaid securities account” is being opened. Unpaid securities shall be transferred to such “client unpaid securities account” from our pool account. </w:t>
      </w:r>
    </w:p>
    <w:p w:rsidR="0093006C" w:rsidRPr="00E93084" w:rsidRDefault="0093006C" w:rsidP="00E93084">
      <w:pPr>
        <w:jc w:val="both"/>
        <w:rPr>
          <w:rFonts w:ascii="Arial Narrow" w:hAnsi="Arial Narrow"/>
        </w:rPr>
      </w:pPr>
      <w:r w:rsidRPr="00E93084">
        <w:rPr>
          <w:rFonts w:ascii="Arial Narrow" w:hAnsi="Arial Narrow"/>
        </w:rPr>
        <w:t xml:space="preserve">2. The securities kept in the ‘client unpaid securities account’ shall either be transferred to the demat account of the respective client upon fulfilment of client’s funds obligation or </w:t>
      </w:r>
      <w:r w:rsidR="00A81EB5" w:rsidRPr="00E93084">
        <w:rPr>
          <w:rFonts w:ascii="Arial Narrow" w:hAnsi="Arial Narrow"/>
        </w:rPr>
        <w:t>may</w:t>
      </w:r>
      <w:r w:rsidRPr="00E93084">
        <w:rPr>
          <w:rFonts w:ascii="Arial Narrow" w:hAnsi="Arial Narrow"/>
        </w:rPr>
        <w:t xml:space="preserve"> be disposed off in the market through us within five trading days after the payout. The unpaid securities shall be sold from the Unique Client Code (UCC) of the respective client.</w:t>
      </w:r>
    </w:p>
    <w:p w:rsidR="0093006C" w:rsidRPr="00E93084" w:rsidRDefault="0093006C" w:rsidP="00E93084">
      <w:pPr>
        <w:jc w:val="both"/>
        <w:rPr>
          <w:rFonts w:ascii="Arial Narrow" w:hAnsi="Arial Narrow"/>
        </w:rPr>
      </w:pPr>
      <w:r w:rsidRPr="00E93084">
        <w:rPr>
          <w:rFonts w:ascii="Arial Narrow" w:hAnsi="Arial Narrow"/>
        </w:rPr>
        <w:t xml:space="preserve">3. Profit/loss on the sale transaction of the said unpaid securities, if any, is to be transferred to/adjusted from the respective client account only and none of our employee/employer &amp; company will not be liable on account liquidation losses if any. </w:t>
      </w:r>
    </w:p>
    <w:p w:rsidR="0093006C" w:rsidRPr="00E93084" w:rsidRDefault="0093006C" w:rsidP="00E93084">
      <w:pPr>
        <w:jc w:val="both"/>
        <w:rPr>
          <w:rFonts w:ascii="Arial Narrow" w:hAnsi="Arial Narrow"/>
        </w:rPr>
      </w:pPr>
      <w:r w:rsidRPr="00E93084">
        <w:rPr>
          <w:rFonts w:ascii="Arial Narrow" w:hAnsi="Arial Narrow"/>
        </w:rPr>
        <w:t xml:space="preserve">4. In case the clients’ securities are kept in the ‘client unpaid securities account’ beyond seven trading days after the pay-out, the depositories shall under their byelaws levy appropriate penalties upon us which we will not be recovering from the client. </w:t>
      </w:r>
    </w:p>
    <w:p w:rsidR="0093006C" w:rsidRPr="00E93084" w:rsidRDefault="0093006C" w:rsidP="00E93084">
      <w:pPr>
        <w:jc w:val="both"/>
        <w:rPr>
          <w:rFonts w:ascii="Arial Narrow" w:hAnsi="Arial Narrow"/>
        </w:rPr>
      </w:pPr>
      <w:r w:rsidRPr="00E93084">
        <w:rPr>
          <w:rFonts w:ascii="Arial Narrow" w:hAnsi="Arial Narrow"/>
        </w:rPr>
        <w:t xml:space="preserve">5. All the securities received in pay-out, shall be transferred to the demat account of the respective clients directly from our pool account within one working day of the payout. </w:t>
      </w:r>
    </w:p>
    <w:p w:rsidR="0093006C" w:rsidRPr="00E93084" w:rsidRDefault="0093006C" w:rsidP="00E93084">
      <w:pPr>
        <w:jc w:val="both"/>
        <w:rPr>
          <w:rFonts w:ascii="Arial Narrow" w:hAnsi="Arial Narrow"/>
        </w:rPr>
      </w:pPr>
      <w:r w:rsidRPr="00E93084">
        <w:rPr>
          <w:rFonts w:ascii="Arial Narrow" w:hAnsi="Arial Narrow"/>
        </w:rPr>
        <w:t xml:space="preserve">6. With regard to the unpaid securities (i.e., the securities that have not been paid for in full by the clients), such securities shall be transferred to respective client’s demat account followed by creation of an auto-pledge mark (i.e., without any specific instruction from the client) with the reason “unpaid”, in favour of a separate account titled – “client unpaid securities pledgee account” (CUSPA) are opened by us at CDSL &amp; NSDL. </w:t>
      </w:r>
    </w:p>
    <w:p w:rsidR="0093006C" w:rsidRPr="00E93084" w:rsidRDefault="0093006C" w:rsidP="00E93084">
      <w:pPr>
        <w:jc w:val="both"/>
        <w:rPr>
          <w:rFonts w:ascii="Arial Narrow" w:hAnsi="Arial Narrow"/>
        </w:rPr>
      </w:pPr>
      <w:r w:rsidRPr="00E93084">
        <w:rPr>
          <w:rFonts w:ascii="Arial Narrow" w:hAnsi="Arial Narrow"/>
        </w:rPr>
        <w:t xml:space="preserve">7. After the creation of pledge, a communication email will be informed by us to the respective clients about their fund’s obligation via daily margin statement and also informing </w:t>
      </w:r>
    </w:p>
    <w:p w:rsidR="0093006C" w:rsidRPr="00E93084" w:rsidRDefault="0093006C" w:rsidP="00E93084">
      <w:pPr>
        <w:jc w:val="both"/>
        <w:rPr>
          <w:rFonts w:ascii="Arial Narrow" w:hAnsi="Arial Narrow"/>
        </w:rPr>
      </w:pPr>
      <w:r w:rsidRPr="00E93084">
        <w:rPr>
          <w:rFonts w:ascii="Arial Narrow" w:hAnsi="Arial Narrow"/>
        </w:rPr>
        <w:t>8. If the client fulfils its funds obligation within five trading days after the pay-out not later than 09:00 AM of 5th day, then we shall release the pledge so that the securities are available to the client as free balance.</w:t>
      </w:r>
    </w:p>
    <w:p w:rsidR="0093006C" w:rsidRPr="00E93084" w:rsidRDefault="0093006C" w:rsidP="00E93084">
      <w:pPr>
        <w:jc w:val="both"/>
        <w:rPr>
          <w:rFonts w:ascii="Arial Narrow" w:hAnsi="Arial Narrow"/>
        </w:rPr>
      </w:pPr>
      <w:r w:rsidRPr="00E93084">
        <w:rPr>
          <w:rFonts w:ascii="Arial Narrow" w:hAnsi="Arial Narrow"/>
        </w:rPr>
        <w:t xml:space="preserve">9. If the client does not fulfil its funds obligation, such unpaid securities </w:t>
      </w:r>
      <w:r w:rsidR="00A81EB5" w:rsidRPr="00E93084">
        <w:rPr>
          <w:rFonts w:ascii="Arial Narrow" w:hAnsi="Arial Narrow"/>
        </w:rPr>
        <w:t>may</w:t>
      </w:r>
      <w:r w:rsidRPr="00E93084">
        <w:rPr>
          <w:rFonts w:ascii="Arial Narrow" w:hAnsi="Arial Narrow"/>
        </w:rPr>
        <w:t xml:space="preserve"> be disposed </w:t>
      </w:r>
      <w:proofErr w:type="spellStart"/>
      <w:r w:rsidRPr="00E93084">
        <w:rPr>
          <w:rFonts w:ascii="Arial Narrow" w:hAnsi="Arial Narrow"/>
        </w:rPr>
        <w:t>off</w:t>
      </w:r>
      <w:proofErr w:type="spellEnd"/>
      <w:r w:rsidRPr="00E93084">
        <w:rPr>
          <w:rFonts w:ascii="Arial Narrow" w:hAnsi="Arial Narrow"/>
        </w:rPr>
        <w:t xml:space="preserve"> in the market within five trading days after the pay-out at any time. Before disposing the securities, we will inform (email / SMS) to the client, one trading day prior of such sale. </w:t>
      </w:r>
    </w:p>
    <w:p w:rsidR="0093006C" w:rsidRPr="00E93084" w:rsidRDefault="0093006C" w:rsidP="00E93084">
      <w:pPr>
        <w:jc w:val="both"/>
        <w:rPr>
          <w:rFonts w:ascii="Arial Narrow" w:hAnsi="Arial Narrow"/>
        </w:rPr>
      </w:pPr>
      <w:r w:rsidRPr="00E93084">
        <w:rPr>
          <w:rFonts w:ascii="Arial Narrow" w:hAnsi="Arial Narrow"/>
        </w:rPr>
        <w:t xml:space="preserve">10. Pledge shall be invoked only against the delivery obligation of the client. On invocation, the securities shall be blocked for early pay-in in the client’s demat account with a trail being maintained in the client unpaid securities pledgee account. </w:t>
      </w:r>
    </w:p>
    <w:p w:rsidR="0093006C" w:rsidRPr="00E93084" w:rsidRDefault="0093006C" w:rsidP="00E93084">
      <w:pPr>
        <w:jc w:val="both"/>
        <w:rPr>
          <w:rFonts w:ascii="Arial Narrow" w:hAnsi="Arial Narrow"/>
        </w:rPr>
      </w:pPr>
      <w:r w:rsidRPr="00E93084">
        <w:rPr>
          <w:rFonts w:ascii="Arial Narrow" w:hAnsi="Arial Narrow"/>
        </w:rPr>
        <w:t xml:space="preserve">11. Once such securities are blocked for early pay-in in clients demat account, the depositories shall verify the block details against the client level obligation in accordance with the SEBI Circular No. </w:t>
      </w:r>
      <w:r w:rsidRPr="00E93084">
        <w:rPr>
          <w:rFonts w:ascii="Arial Narrow" w:hAnsi="Arial Narrow"/>
        </w:rPr>
        <w:lastRenderedPageBreak/>
        <w:t>SEBI/HO/MIRSD/DOP/P/CIR/2021/595 dated July 16, 2021 and SEBI/HO/MIRSD/</w:t>
      </w:r>
      <w:proofErr w:type="spellStart"/>
      <w:r w:rsidRPr="00E93084">
        <w:rPr>
          <w:rFonts w:ascii="Arial Narrow" w:hAnsi="Arial Narrow"/>
        </w:rPr>
        <w:t>DoP</w:t>
      </w:r>
      <w:proofErr w:type="spellEnd"/>
      <w:r w:rsidRPr="00E93084">
        <w:rPr>
          <w:rFonts w:ascii="Arial Narrow" w:hAnsi="Arial Narrow"/>
        </w:rPr>
        <w:t xml:space="preserve">/P/CIR/2022/109 dated August 18, 2022. </w:t>
      </w:r>
    </w:p>
    <w:p w:rsidR="0093006C" w:rsidRPr="00E93084" w:rsidRDefault="0093006C" w:rsidP="00E93084">
      <w:pPr>
        <w:jc w:val="both"/>
        <w:rPr>
          <w:rFonts w:ascii="Arial Narrow" w:hAnsi="Arial Narrow"/>
        </w:rPr>
      </w:pPr>
      <w:r w:rsidRPr="00E93084">
        <w:rPr>
          <w:rFonts w:ascii="Arial Narrow" w:hAnsi="Arial Narrow"/>
        </w:rPr>
        <w:t xml:space="preserve">12. In case, such pledge is neither invoked nor released within seven trading days after the pay-out, the pledge on securities shall be auto released and the securities shall be available to the client as free balance without encumbrance. </w:t>
      </w:r>
    </w:p>
    <w:p w:rsidR="0093006C" w:rsidRPr="00E93084" w:rsidRDefault="0093006C" w:rsidP="00E93084">
      <w:pPr>
        <w:jc w:val="both"/>
        <w:rPr>
          <w:rFonts w:ascii="Arial Narrow" w:hAnsi="Arial Narrow"/>
        </w:rPr>
      </w:pPr>
      <w:r w:rsidRPr="00E93084">
        <w:rPr>
          <w:rFonts w:ascii="Arial Narrow" w:hAnsi="Arial Narrow"/>
        </w:rPr>
        <w:t xml:space="preserve">13. However, said CUSPA securities of clients will be blocked by Depository from 6th day onwards to 7th day EOD, during the said period Depository will restrict for </w:t>
      </w:r>
      <w:proofErr w:type="spellStart"/>
      <w:r w:rsidRPr="00E93084">
        <w:rPr>
          <w:rFonts w:ascii="Arial Narrow" w:hAnsi="Arial Narrow"/>
        </w:rPr>
        <w:t>payin</w:t>
      </w:r>
      <w:proofErr w:type="spellEnd"/>
      <w:r w:rsidRPr="00E93084">
        <w:rPr>
          <w:rFonts w:ascii="Arial Narrow" w:hAnsi="Arial Narrow"/>
        </w:rPr>
        <w:t xml:space="preserve"> of securities, so in case if client sell said securities, then it will go to be auction and in said scenario member will not bear any losses &amp; charges on said transaction.</w:t>
      </w:r>
    </w:p>
    <w:p w:rsidR="0093006C" w:rsidRDefault="0093006C" w:rsidP="00E93084">
      <w:pPr>
        <w:jc w:val="both"/>
        <w:rPr>
          <w:rFonts w:ascii="Arial Narrow" w:hAnsi="Arial Narrow"/>
        </w:rPr>
      </w:pPr>
      <w:r w:rsidRPr="00E93084">
        <w:rPr>
          <w:rFonts w:ascii="Arial Narrow" w:hAnsi="Arial Narrow"/>
        </w:rPr>
        <w:t xml:space="preserve">14. Such unpaid securities pledged in </w:t>
      </w:r>
      <w:proofErr w:type="spellStart"/>
      <w:r w:rsidRPr="00E93084">
        <w:rPr>
          <w:rFonts w:ascii="Arial Narrow" w:hAnsi="Arial Narrow"/>
        </w:rPr>
        <w:t>favor</w:t>
      </w:r>
      <w:proofErr w:type="spellEnd"/>
      <w:r w:rsidRPr="00E93084">
        <w:rPr>
          <w:rFonts w:ascii="Arial Narrow" w:hAnsi="Arial Narrow"/>
        </w:rPr>
        <w:t xml:space="preserve"> of CUSPA account of will not be considered while collection and reporting of margin and no exposure/limits on said securities will be provided</w:t>
      </w:r>
    </w:p>
    <w:p w:rsidR="00E93084" w:rsidRPr="003F3FA8" w:rsidRDefault="00E93084" w:rsidP="00E93084">
      <w:pPr>
        <w:jc w:val="both"/>
        <w:rPr>
          <w:rFonts w:ascii="Arial Narrow" w:hAnsi="Arial Narrow" w:cs="Arial"/>
          <w:b/>
          <w:color w:val="000000"/>
          <w:shd w:val="clear" w:color="auto" w:fill="FFFFFF"/>
        </w:rPr>
      </w:pPr>
      <w:r w:rsidRPr="003F3FA8">
        <w:rPr>
          <w:rFonts w:ascii="Arial Narrow" w:hAnsi="Arial Narrow" w:cs="Arial"/>
          <w:b/>
          <w:color w:val="000000"/>
          <w:shd w:val="clear" w:color="auto" w:fill="FFFFFF"/>
        </w:rPr>
        <w:t>FOR PINNACLE FOREX &amp; SECURITIES PVT LTD</w:t>
      </w:r>
    </w:p>
    <w:p w:rsidR="00E93084" w:rsidRPr="003F3FA8" w:rsidRDefault="00E93084" w:rsidP="00E93084">
      <w:pPr>
        <w:jc w:val="both"/>
        <w:rPr>
          <w:rFonts w:ascii="Arial Narrow" w:hAnsi="Arial Narrow" w:cs="Arial"/>
          <w:b/>
          <w:color w:val="000000"/>
          <w:shd w:val="clear" w:color="auto" w:fill="FFFFFF"/>
        </w:rPr>
      </w:pPr>
    </w:p>
    <w:p w:rsidR="00E93084" w:rsidRDefault="00E93084" w:rsidP="00E93084">
      <w:pPr>
        <w:jc w:val="both"/>
        <w:rPr>
          <w:rFonts w:ascii="Arial Narrow" w:hAnsi="Arial Narrow"/>
        </w:rPr>
      </w:pPr>
      <w:r w:rsidRPr="003F3FA8">
        <w:rPr>
          <w:rFonts w:ascii="Arial Narrow" w:hAnsi="Arial Narrow" w:cs="Arial"/>
          <w:b/>
          <w:color w:val="000000"/>
          <w:shd w:val="clear" w:color="auto" w:fill="FFFFFF"/>
        </w:rPr>
        <w:t>DIRECTOR</w:t>
      </w:r>
    </w:p>
    <w:tbl>
      <w:tblPr>
        <w:tblpPr w:leftFromText="180" w:rightFromText="180" w:vertAnchor="text" w:horzAnchor="margin" w:tblpXSpec="center" w:tblpY="394"/>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860"/>
      </w:tblGrid>
      <w:tr w:rsidR="00E93084" w:rsidRPr="00E93084" w:rsidTr="000113A7">
        <w:tc>
          <w:tcPr>
            <w:tcW w:w="5125" w:type="dxa"/>
            <w:shd w:val="clear" w:color="auto" w:fill="auto"/>
          </w:tcPr>
          <w:p w:rsidR="00E93084" w:rsidRPr="00E93084" w:rsidRDefault="00E93084" w:rsidP="000113A7">
            <w:pPr>
              <w:spacing w:after="0" w:line="240" w:lineRule="auto"/>
              <w:ind w:left="105"/>
              <w:jc w:val="both"/>
              <w:rPr>
                <w:rFonts w:ascii="Arial Narrow" w:hAnsi="Arial Narrow"/>
                <w:color w:val="000000"/>
                <w:shd w:val="clear" w:color="auto" w:fill="FFFFFF"/>
              </w:rPr>
            </w:pPr>
            <w:r w:rsidRPr="00E93084">
              <w:rPr>
                <w:rFonts w:ascii="Arial Narrow" w:hAnsi="Arial Narrow"/>
              </w:rPr>
              <w:t>Policy reviewed by:</w:t>
            </w:r>
          </w:p>
        </w:tc>
        <w:tc>
          <w:tcPr>
            <w:tcW w:w="4860" w:type="dxa"/>
            <w:shd w:val="clear" w:color="auto" w:fill="auto"/>
          </w:tcPr>
          <w:p w:rsidR="00E93084" w:rsidRPr="00E93084" w:rsidRDefault="00E93084" w:rsidP="000113A7">
            <w:pPr>
              <w:spacing w:after="0" w:line="240" w:lineRule="auto"/>
              <w:ind w:left="75"/>
              <w:jc w:val="both"/>
              <w:rPr>
                <w:rFonts w:ascii="Arial Narrow" w:hAnsi="Arial Narrow"/>
                <w:color w:val="000000"/>
                <w:shd w:val="clear" w:color="auto" w:fill="FFFFFF"/>
              </w:rPr>
            </w:pPr>
            <w:r w:rsidRPr="00E93084">
              <w:rPr>
                <w:rFonts w:ascii="Arial Narrow" w:hAnsi="Arial Narrow"/>
                <w:color w:val="000000"/>
                <w:shd w:val="clear" w:color="auto" w:fill="FFFFFF"/>
              </w:rPr>
              <w:t xml:space="preserve">Mr. </w:t>
            </w:r>
            <w:proofErr w:type="spellStart"/>
            <w:r w:rsidRPr="00E93084">
              <w:rPr>
                <w:rFonts w:ascii="Arial Narrow" w:hAnsi="Arial Narrow"/>
                <w:color w:val="000000"/>
                <w:shd w:val="clear" w:color="auto" w:fill="FFFFFF"/>
              </w:rPr>
              <w:t>Pranay</w:t>
            </w:r>
            <w:proofErr w:type="spellEnd"/>
            <w:r w:rsidRPr="00E93084">
              <w:rPr>
                <w:rFonts w:ascii="Arial Narrow" w:hAnsi="Arial Narrow"/>
                <w:color w:val="000000"/>
                <w:shd w:val="clear" w:color="auto" w:fill="FFFFFF"/>
              </w:rPr>
              <w:t xml:space="preserve"> Gala</w:t>
            </w:r>
          </w:p>
        </w:tc>
      </w:tr>
      <w:tr w:rsidR="00E93084" w:rsidRPr="00E93084" w:rsidTr="000113A7">
        <w:tc>
          <w:tcPr>
            <w:tcW w:w="5125" w:type="dxa"/>
            <w:shd w:val="clear" w:color="auto" w:fill="auto"/>
          </w:tcPr>
          <w:p w:rsidR="00E93084" w:rsidRPr="00E93084" w:rsidRDefault="00E93084" w:rsidP="000113A7">
            <w:pPr>
              <w:spacing w:after="0" w:line="240" w:lineRule="auto"/>
              <w:ind w:left="105"/>
              <w:jc w:val="both"/>
              <w:rPr>
                <w:rFonts w:ascii="Arial Narrow" w:hAnsi="Arial Narrow"/>
                <w:color w:val="000000"/>
                <w:shd w:val="clear" w:color="auto" w:fill="FFFFFF"/>
              </w:rPr>
            </w:pPr>
            <w:r w:rsidRPr="00E93084">
              <w:rPr>
                <w:rFonts w:ascii="Arial Narrow" w:hAnsi="Arial Narrow"/>
              </w:rPr>
              <w:t>Policy Approved by:</w:t>
            </w:r>
          </w:p>
        </w:tc>
        <w:tc>
          <w:tcPr>
            <w:tcW w:w="4860" w:type="dxa"/>
            <w:shd w:val="clear" w:color="auto" w:fill="auto"/>
          </w:tcPr>
          <w:p w:rsidR="00E93084" w:rsidRPr="00E93084" w:rsidRDefault="00E93084" w:rsidP="000113A7">
            <w:pPr>
              <w:spacing w:after="0" w:line="240" w:lineRule="auto"/>
              <w:ind w:left="75"/>
              <w:jc w:val="both"/>
              <w:rPr>
                <w:rFonts w:ascii="Arial Narrow" w:hAnsi="Arial Narrow"/>
                <w:color w:val="000000"/>
                <w:shd w:val="clear" w:color="auto" w:fill="FFFFFF"/>
              </w:rPr>
            </w:pPr>
            <w:r w:rsidRPr="00E93084">
              <w:rPr>
                <w:rFonts w:ascii="Arial Narrow" w:hAnsi="Arial Narrow"/>
                <w:color w:val="000000"/>
                <w:shd w:val="clear" w:color="auto" w:fill="FFFFFF"/>
              </w:rPr>
              <w:t xml:space="preserve">Mr. Arvind </w:t>
            </w:r>
            <w:proofErr w:type="spellStart"/>
            <w:r w:rsidRPr="00E93084">
              <w:rPr>
                <w:rFonts w:ascii="Arial Narrow" w:hAnsi="Arial Narrow"/>
                <w:color w:val="000000"/>
                <w:shd w:val="clear" w:color="auto" w:fill="FFFFFF"/>
              </w:rPr>
              <w:t>Vinchhivora</w:t>
            </w:r>
            <w:proofErr w:type="spellEnd"/>
          </w:p>
        </w:tc>
      </w:tr>
      <w:tr w:rsidR="00E93084" w:rsidRPr="00E93084" w:rsidTr="000113A7">
        <w:tc>
          <w:tcPr>
            <w:tcW w:w="5125" w:type="dxa"/>
            <w:shd w:val="clear" w:color="auto" w:fill="auto"/>
          </w:tcPr>
          <w:p w:rsidR="00E93084" w:rsidRPr="00E93084" w:rsidRDefault="00E93084" w:rsidP="000113A7">
            <w:pPr>
              <w:spacing w:after="0" w:line="240" w:lineRule="auto"/>
              <w:ind w:left="105"/>
              <w:jc w:val="both"/>
              <w:rPr>
                <w:rFonts w:ascii="Arial Narrow" w:hAnsi="Arial Narrow"/>
                <w:color w:val="000000"/>
                <w:shd w:val="clear" w:color="auto" w:fill="FFFFFF"/>
              </w:rPr>
            </w:pPr>
            <w:r w:rsidRPr="00E93084">
              <w:rPr>
                <w:rFonts w:ascii="Arial Narrow" w:hAnsi="Arial Narrow"/>
              </w:rPr>
              <w:t>Approved by the Board on:</w:t>
            </w:r>
          </w:p>
        </w:tc>
        <w:tc>
          <w:tcPr>
            <w:tcW w:w="4860" w:type="dxa"/>
            <w:shd w:val="clear" w:color="auto" w:fill="auto"/>
          </w:tcPr>
          <w:p w:rsidR="00E93084" w:rsidRPr="00E93084" w:rsidRDefault="00E93084" w:rsidP="000113A7">
            <w:pPr>
              <w:spacing w:after="0" w:line="240" w:lineRule="auto"/>
              <w:ind w:left="75"/>
              <w:jc w:val="both"/>
              <w:rPr>
                <w:rFonts w:ascii="Arial Narrow" w:hAnsi="Arial Narrow"/>
                <w:color w:val="000000"/>
                <w:shd w:val="clear" w:color="auto" w:fill="FFFFFF"/>
              </w:rPr>
            </w:pPr>
            <w:r w:rsidRPr="00E93084">
              <w:rPr>
                <w:rFonts w:ascii="Arial Narrow" w:hAnsi="Arial Narrow"/>
                <w:color w:val="000000"/>
                <w:shd w:val="clear" w:color="auto" w:fill="FFFFFF"/>
              </w:rPr>
              <w:t>June 15, 2024</w:t>
            </w:r>
          </w:p>
        </w:tc>
      </w:tr>
      <w:tr w:rsidR="00E93084" w:rsidRPr="00E93084" w:rsidTr="000113A7">
        <w:tc>
          <w:tcPr>
            <w:tcW w:w="5125" w:type="dxa"/>
            <w:shd w:val="clear" w:color="auto" w:fill="auto"/>
          </w:tcPr>
          <w:p w:rsidR="00E93084" w:rsidRPr="00E93084" w:rsidRDefault="00E93084" w:rsidP="000113A7">
            <w:pPr>
              <w:spacing w:after="0" w:line="240" w:lineRule="auto"/>
              <w:ind w:left="105"/>
              <w:jc w:val="both"/>
              <w:rPr>
                <w:rFonts w:ascii="Arial Narrow" w:hAnsi="Arial Narrow"/>
                <w:color w:val="000000"/>
                <w:shd w:val="clear" w:color="auto" w:fill="FFFFFF"/>
              </w:rPr>
            </w:pPr>
            <w:r w:rsidRPr="00E93084">
              <w:rPr>
                <w:rFonts w:ascii="Arial Narrow" w:hAnsi="Arial Narrow"/>
              </w:rPr>
              <w:t>Name of the entity:</w:t>
            </w:r>
          </w:p>
        </w:tc>
        <w:tc>
          <w:tcPr>
            <w:tcW w:w="4860" w:type="dxa"/>
            <w:shd w:val="clear" w:color="auto" w:fill="auto"/>
          </w:tcPr>
          <w:p w:rsidR="00E93084" w:rsidRPr="00E93084" w:rsidRDefault="00E93084" w:rsidP="000113A7">
            <w:pPr>
              <w:spacing w:after="0" w:line="240" w:lineRule="auto"/>
              <w:ind w:left="75"/>
              <w:jc w:val="both"/>
              <w:rPr>
                <w:rFonts w:ascii="Arial Narrow" w:hAnsi="Arial Narrow"/>
                <w:color w:val="000000"/>
                <w:shd w:val="clear" w:color="auto" w:fill="FFFFFF"/>
              </w:rPr>
            </w:pPr>
            <w:r w:rsidRPr="00E93084">
              <w:rPr>
                <w:rFonts w:ascii="Arial Narrow" w:hAnsi="Arial Narrow"/>
                <w:color w:val="000000"/>
                <w:shd w:val="clear" w:color="auto" w:fill="FFFFFF"/>
              </w:rPr>
              <w:t>Pinnacle Forex &amp; Securities Pvt Ltd</w:t>
            </w:r>
          </w:p>
        </w:tc>
      </w:tr>
    </w:tbl>
    <w:p w:rsidR="00B500BA" w:rsidRPr="00E93084" w:rsidRDefault="00B500BA" w:rsidP="00E93084">
      <w:pPr>
        <w:jc w:val="both"/>
        <w:rPr>
          <w:rFonts w:ascii="Arial Narrow" w:hAnsi="Arial Narrow"/>
        </w:rPr>
      </w:pPr>
      <w:bookmarkStart w:id="0" w:name="_GoBack"/>
      <w:bookmarkEnd w:id="0"/>
    </w:p>
    <w:sectPr w:rsidR="00B500BA" w:rsidRPr="00E93084" w:rsidSect="00E93084">
      <w:pgSz w:w="11906" w:h="16838"/>
      <w:pgMar w:top="1440" w:right="1296" w:bottom="1440"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6C"/>
    <w:rsid w:val="0093006C"/>
    <w:rsid w:val="00A56028"/>
    <w:rsid w:val="00A81EB5"/>
    <w:rsid w:val="00B500BA"/>
    <w:rsid w:val="00E930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FB2A"/>
  <w15:chartTrackingRefBased/>
  <w15:docId w15:val="{9ACC146A-8F22-4435-B997-497D14AD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06C"/>
    <w:rPr>
      <w:rFonts w:eastAsiaTheme="majorEastAsia" w:cstheme="majorBidi"/>
      <w:color w:val="272727" w:themeColor="text1" w:themeTint="D8"/>
    </w:rPr>
  </w:style>
  <w:style w:type="paragraph" w:styleId="Title">
    <w:name w:val="Title"/>
    <w:basedOn w:val="Normal"/>
    <w:next w:val="Normal"/>
    <w:link w:val="TitleChar"/>
    <w:uiPriority w:val="10"/>
    <w:qFormat/>
    <w:rsid w:val="00930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06C"/>
    <w:pPr>
      <w:spacing w:before="160"/>
      <w:jc w:val="center"/>
    </w:pPr>
    <w:rPr>
      <w:i/>
      <w:iCs/>
      <w:color w:val="404040" w:themeColor="text1" w:themeTint="BF"/>
    </w:rPr>
  </w:style>
  <w:style w:type="character" w:customStyle="1" w:styleId="QuoteChar">
    <w:name w:val="Quote Char"/>
    <w:basedOn w:val="DefaultParagraphFont"/>
    <w:link w:val="Quote"/>
    <w:uiPriority w:val="29"/>
    <w:rsid w:val="0093006C"/>
    <w:rPr>
      <w:i/>
      <w:iCs/>
      <w:color w:val="404040" w:themeColor="text1" w:themeTint="BF"/>
    </w:rPr>
  </w:style>
  <w:style w:type="paragraph" w:styleId="ListParagraph">
    <w:name w:val="List Paragraph"/>
    <w:basedOn w:val="Normal"/>
    <w:uiPriority w:val="34"/>
    <w:qFormat/>
    <w:rsid w:val="0093006C"/>
    <w:pPr>
      <w:ind w:left="720"/>
      <w:contextualSpacing/>
    </w:pPr>
  </w:style>
  <w:style w:type="character" w:styleId="IntenseEmphasis">
    <w:name w:val="Intense Emphasis"/>
    <w:basedOn w:val="DefaultParagraphFont"/>
    <w:uiPriority w:val="21"/>
    <w:qFormat/>
    <w:rsid w:val="0093006C"/>
    <w:rPr>
      <w:i/>
      <w:iCs/>
      <w:color w:val="2F5496" w:themeColor="accent1" w:themeShade="BF"/>
    </w:rPr>
  </w:style>
  <w:style w:type="paragraph" w:styleId="IntenseQuote">
    <w:name w:val="Intense Quote"/>
    <w:basedOn w:val="Normal"/>
    <w:next w:val="Normal"/>
    <w:link w:val="IntenseQuoteChar"/>
    <w:uiPriority w:val="30"/>
    <w:qFormat/>
    <w:rsid w:val="00930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06C"/>
    <w:rPr>
      <w:i/>
      <w:iCs/>
      <w:color w:val="2F5496" w:themeColor="accent1" w:themeShade="BF"/>
    </w:rPr>
  </w:style>
  <w:style w:type="character" w:styleId="IntenseReference">
    <w:name w:val="Intense Reference"/>
    <w:basedOn w:val="DefaultParagraphFont"/>
    <w:uiPriority w:val="32"/>
    <w:qFormat/>
    <w:rsid w:val="00930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Administrator@pfspl.com</dc:creator>
  <cp:keywords/>
  <dc:description/>
  <cp:lastModifiedBy>Prashant W</cp:lastModifiedBy>
  <cp:revision>4</cp:revision>
  <dcterms:created xsi:type="dcterms:W3CDTF">2025-05-29T06:54:00Z</dcterms:created>
  <dcterms:modified xsi:type="dcterms:W3CDTF">2025-05-29T07:23:00Z</dcterms:modified>
</cp:coreProperties>
</file>